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6C3E" w14:textId="2D6AAE31" w:rsidR="00AF20AF" w:rsidRDefault="00AF20AF">
      <w:pPr>
        <w:rPr>
          <w:rFonts w:ascii="Arial Nova" w:hAnsi="Arial Nova" w:cs="Arial"/>
          <w:b/>
          <w:bCs/>
          <w:sz w:val="22"/>
          <w:szCs w:val="22"/>
          <w:u w:val="single"/>
        </w:rPr>
      </w:pPr>
      <w:r>
        <w:rPr>
          <w:rFonts w:ascii="Arial Nova" w:hAnsi="Arial Nova" w:cs="Arial"/>
          <w:b/>
          <w:bCs/>
          <w:sz w:val="22"/>
          <w:szCs w:val="22"/>
          <w:u w:val="single"/>
        </w:rPr>
        <w:t>Activiteitenverslag behorend bij Standaardformulier publicatieplicht Zorginstellingen over 2024</w:t>
      </w:r>
    </w:p>
    <w:p w14:paraId="729991EF" w14:textId="77777777" w:rsidR="00AF20AF" w:rsidRDefault="00AF20AF">
      <w:pPr>
        <w:rPr>
          <w:rFonts w:ascii="Arial Nova" w:hAnsi="Arial Nova" w:cs="Arial"/>
          <w:b/>
          <w:bCs/>
          <w:sz w:val="22"/>
          <w:szCs w:val="22"/>
          <w:u w:val="single"/>
        </w:rPr>
      </w:pPr>
    </w:p>
    <w:p w14:paraId="1C605854" w14:textId="77777777" w:rsidR="00AF20AF" w:rsidRDefault="00AF20AF">
      <w:pPr>
        <w:rPr>
          <w:rFonts w:ascii="Arial Nova" w:hAnsi="Arial Nova" w:cs="Arial"/>
          <w:b/>
          <w:bCs/>
          <w:sz w:val="22"/>
          <w:szCs w:val="22"/>
          <w:u w:val="single"/>
        </w:rPr>
      </w:pPr>
    </w:p>
    <w:p w14:paraId="6BEC3450" w14:textId="024B4345" w:rsidR="0077214A" w:rsidRPr="002374C3" w:rsidRDefault="0077214A">
      <w:pPr>
        <w:rPr>
          <w:rFonts w:ascii="Arial Nova" w:hAnsi="Arial Nova" w:cs="Arial"/>
          <w:b/>
          <w:bCs/>
          <w:sz w:val="22"/>
          <w:szCs w:val="22"/>
          <w:u w:val="single"/>
        </w:rPr>
      </w:pPr>
      <w:r w:rsidRPr="002374C3">
        <w:rPr>
          <w:rFonts w:ascii="Arial Nova" w:hAnsi="Arial Nova" w:cs="Arial"/>
          <w:b/>
          <w:bCs/>
          <w:sz w:val="22"/>
          <w:szCs w:val="22"/>
          <w:u w:val="single"/>
        </w:rPr>
        <w:t>De Stichting</w:t>
      </w:r>
    </w:p>
    <w:p w14:paraId="7F5FF8C0" w14:textId="77777777" w:rsidR="002B36D3" w:rsidRPr="002B36D3" w:rsidRDefault="002B36D3">
      <w:pPr>
        <w:rPr>
          <w:rFonts w:ascii="Arial Nova" w:hAnsi="Arial Nova" w:cs="Arial"/>
          <w:b/>
          <w:bCs/>
          <w:u w:val="single"/>
        </w:rPr>
      </w:pPr>
    </w:p>
    <w:p w14:paraId="3BCB2ECB" w14:textId="24BEFCE8" w:rsidR="008B5B0F" w:rsidRPr="002374C3" w:rsidRDefault="00ED4451">
      <w:pPr>
        <w:rPr>
          <w:rFonts w:ascii="Arial Nova" w:hAnsi="Arial Nova" w:cs="Arial"/>
          <w:sz w:val="20"/>
          <w:szCs w:val="20"/>
        </w:rPr>
      </w:pPr>
      <w:r w:rsidRPr="002374C3">
        <w:rPr>
          <w:rFonts w:ascii="Arial Nova" w:hAnsi="Arial Nova" w:cs="Arial"/>
          <w:sz w:val="20"/>
          <w:szCs w:val="20"/>
        </w:rPr>
        <w:t xml:space="preserve">Het Bestuur van de Stichting Vrienden van het Verpleeghuis Duinstede bestaat uit Jan de Haas, voorzitter, </w:t>
      </w:r>
      <w:r w:rsidR="00DE6BA4" w:rsidRPr="002374C3">
        <w:rPr>
          <w:rFonts w:ascii="Arial Nova" w:hAnsi="Arial Nova" w:cs="Arial"/>
          <w:sz w:val="20"/>
          <w:szCs w:val="20"/>
        </w:rPr>
        <w:t>die tevens contactpersoon is en te bereiken via e-mail</w:t>
      </w:r>
      <w:r w:rsidR="0006588A" w:rsidRPr="002374C3">
        <w:rPr>
          <w:rFonts w:ascii="Arial Nova" w:hAnsi="Arial Nova" w:cs="Arial"/>
          <w:sz w:val="20"/>
          <w:szCs w:val="20"/>
        </w:rPr>
        <w:t xml:space="preserve"> </w:t>
      </w:r>
      <w:hyperlink r:id="rId4" w:history="1">
        <w:r w:rsidR="0006588A" w:rsidRPr="002374C3">
          <w:rPr>
            <w:rStyle w:val="Hyperlink"/>
            <w:rFonts w:ascii="Arial Nova" w:hAnsi="Arial Nova" w:cs="Arial"/>
            <w:sz w:val="20"/>
            <w:szCs w:val="20"/>
          </w:rPr>
          <w:t>vriendenvanduinstede@gmail.com</w:t>
        </w:r>
      </w:hyperlink>
      <w:r w:rsidR="0077214A" w:rsidRPr="002374C3">
        <w:rPr>
          <w:rFonts w:ascii="Arial Nova" w:hAnsi="Arial Nova" w:cs="Arial"/>
          <w:sz w:val="20"/>
          <w:szCs w:val="20"/>
        </w:rPr>
        <w:t>,</w:t>
      </w:r>
      <w:r w:rsidR="0006588A" w:rsidRPr="002374C3">
        <w:rPr>
          <w:rFonts w:ascii="Arial Nova" w:hAnsi="Arial Nova" w:cs="Arial"/>
          <w:sz w:val="20"/>
          <w:szCs w:val="20"/>
        </w:rPr>
        <w:t xml:space="preserve"> Maurits Blaauw, penningmeeste</w:t>
      </w:r>
      <w:r w:rsidR="00FC1FEA" w:rsidRPr="002374C3">
        <w:rPr>
          <w:rFonts w:ascii="Arial Nova" w:hAnsi="Arial Nova" w:cs="Arial"/>
          <w:sz w:val="20"/>
          <w:szCs w:val="20"/>
        </w:rPr>
        <w:t xml:space="preserve">r, </w:t>
      </w:r>
      <w:r w:rsidR="0006588A" w:rsidRPr="002374C3">
        <w:rPr>
          <w:rFonts w:ascii="Arial Nova" w:hAnsi="Arial Nova" w:cs="Arial"/>
          <w:sz w:val="20"/>
          <w:szCs w:val="20"/>
        </w:rPr>
        <w:t>René van Well</w:t>
      </w:r>
      <w:r w:rsidRPr="002374C3">
        <w:rPr>
          <w:rFonts w:ascii="Arial Nova" w:hAnsi="Arial Nova" w:cs="Arial"/>
          <w:sz w:val="20"/>
          <w:szCs w:val="20"/>
        </w:rPr>
        <w:t>, secretaris</w:t>
      </w:r>
      <w:r w:rsidR="00FC1FEA" w:rsidRPr="002374C3">
        <w:rPr>
          <w:rFonts w:ascii="Arial Nova" w:hAnsi="Arial Nova" w:cs="Arial"/>
          <w:sz w:val="20"/>
          <w:szCs w:val="20"/>
        </w:rPr>
        <w:t xml:space="preserve"> en Anton de Vries</w:t>
      </w:r>
      <w:r w:rsidR="00577642" w:rsidRPr="002374C3">
        <w:rPr>
          <w:rFonts w:ascii="Arial Nova" w:hAnsi="Arial Nova" w:cs="Arial"/>
          <w:sz w:val="20"/>
          <w:szCs w:val="20"/>
        </w:rPr>
        <w:t>,</w:t>
      </w:r>
      <w:r w:rsidR="001649C7" w:rsidRPr="002374C3">
        <w:rPr>
          <w:rFonts w:ascii="Arial Nova" w:hAnsi="Arial Nova" w:cs="Arial"/>
          <w:sz w:val="20"/>
          <w:szCs w:val="20"/>
        </w:rPr>
        <w:t xml:space="preserve"> </w:t>
      </w:r>
      <w:r w:rsidR="00FC1FEA" w:rsidRPr="002374C3">
        <w:rPr>
          <w:rFonts w:ascii="Arial Nova" w:hAnsi="Arial Nova" w:cs="Arial"/>
          <w:sz w:val="20"/>
          <w:szCs w:val="20"/>
        </w:rPr>
        <w:t>adviseur</w:t>
      </w:r>
      <w:r w:rsidRPr="002374C3">
        <w:rPr>
          <w:rFonts w:ascii="Arial Nova" w:hAnsi="Arial Nova" w:cs="Arial"/>
          <w:sz w:val="20"/>
          <w:szCs w:val="20"/>
        </w:rPr>
        <w:t>.</w:t>
      </w:r>
    </w:p>
    <w:p w14:paraId="7CCF03AD" w14:textId="77777777" w:rsidR="00ED4451" w:rsidRPr="002374C3" w:rsidRDefault="00ED4451">
      <w:pPr>
        <w:rPr>
          <w:rFonts w:ascii="Arial Nova" w:hAnsi="Arial Nova" w:cs="Arial"/>
          <w:sz w:val="20"/>
          <w:szCs w:val="20"/>
        </w:rPr>
      </w:pPr>
    </w:p>
    <w:p w14:paraId="2CCCED33" w14:textId="33D044ED" w:rsidR="00ED4451" w:rsidRPr="002374C3" w:rsidRDefault="00ED4451">
      <w:pPr>
        <w:rPr>
          <w:rFonts w:ascii="Arial Nova" w:hAnsi="Arial Nova" w:cs="Arial"/>
          <w:sz w:val="20"/>
          <w:szCs w:val="20"/>
        </w:rPr>
      </w:pPr>
      <w:r w:rsidRPr="002374C3">
        <w:rPr>
          <w:rFonts w:ascii="Arial Nova" w:hAnsi="Arial Nova" w:cs="Arial"/>
          <w:sz w:val="20"/>
          <w:szCs w:val="20"/>
        </w:rPr>
        <w:t>De doelstelling van de Stichting is het verstrekken van gelden</w:t>
      </w:r>
      <w:r w:rsidR="00577642" w:rsidRPr="002374C3">
        <w:rPr>
          <w:rFonts w:ascii="Arial Nova" w:hAnsi="Arial Nova" w:cs="Arial"/>
          <w:sz w:val="20"/>
          <w:szCs w:val="20"/>
        </w:rPr>
        <w:t>,</w:t>
      </w:r>
      <w:r w:rsidRPr="002374C3">
        <w:rPr>
          <w:rFonts w:ascii="Arial Nova" w:hAnsi="Arial Nova" w:cs="Arial"/>
          <w:sz w:val="20"/>
          <w:szCs w:val="20"/>
        </w:rPr>
        <w:t xml:space="preserve"> verkregen uit schenkingen, legaten en andere inkomsten aan </w:t>
      </w:r>
      <w:r w:rsidR="002B36D3" w:rsidRPr="002374C3">
        <w:rPr>
          <w:rFonts w:ascii="Arial Nova" w:hAnsi="Arial Nova" w:cs="Arial"/>
          <w:sz w:val="20"/>
          <w:szCs w:val="20"/>
        </w:rPr>
        <w:t xml:space="preserve">Woonzorgcentrum </w:t>
      </w:r>
      <w:r w:rsidRPr="002374C3">
        <w:rPr>
          <w:rFonts w:ascii="Arial Nova" w:hAnsi="Arial Nova" w:cs="Arial"/>
          <w:sz w:val="20"/>
          <w:szCs w:val="20"/>
        </w:rPr>
        <w:t>Duinstede om deze in staat te stellen tot het verwezenlijken van haar statutaire doel.</w:t>
      </w:r>
    </w:p>
    <w:p w14:paraId="4CB47FFD" w14:textId="77777777" w:rsidR="00ED4451" w:rsidRPr="002374C3" w:rsidRDefault="00ED4451">
      <w:pPr>
        <w:rPr>
          <w:rFonts w:ascii="Arial Nova" w:hAnsi="Arial Nova" w:cs="Arial"/>
          <w:sz w:val="20"/>
          <w:szCs w:val="20"/>
        </w:rPr>
      </w:pPr>
    </w:p>
    <w:p w14:paraId="154AFC7F" w14:textId="77777777" w:rsidR="001649C7" w:rsidRPr="002374C3" w:rsidRDefault="00ED4451">
      <w:pPr>
        <w:rPr>
          <w:rFonts w:ascii="Arial Nova" w:hAnsi="Arial Nova" w:cs="Arial"/>
          <w:sz w:val="20"/>
          <w:szCs w:val="20"/>
        </w:rPr>
      </w:pPr>
      <w:r w:rsidRPr="002374C3">
        <w:rPr>
          <w:rFonts w:ascii="Arial Nova" w:hAnsi="Arial Nova" w:cs="Arial"/>
          <w:sz w:val="20"/>
          <w:szCs w:val="20"/>
        </w:rPr>
        <w:t>De Stichting Vrienden van het Verpleeghuis Duinstede is ingeschreven bij de Kamer van Koophandel onder nummer 27197968</w:t>
      </w:r>
      <w:r w:rsidR="001649C7" w:rsidRPr="002374C3">
        <w:rPr>
          <w:rFonts w:ascii="Arial Nova" w:hAnsi="Arial Nova" w:cs="Arial"/>
          <w:sz w:val="20"/>
          <w:szCs w:val="20"/>
        </w:rPr>
        <w:t>,</w:t>
      </w:r>
      <w:r w:rsidR="0006588A" w:rsidRPr="002374C3">
        <w:rPr>
          <w:rFonts w:ascii="Arial Nova" w:hAnsi="Arial Nova" w:cs="Arial"/>
          <w:sz w:val="20"/>
          <w:szCs w:val="20"/>
        </w:rPr>
        <w:t xml:space="preserve"> en </w:t>
      </w:r>
      <w:r w:rsidR="002B36D3" w:rsidRPr="002374C3">
        <w:rPr>
          <w:rFonts w:ascii="Arial Nova" w:hAnsi="Arial Nova" w:cs="Arial"/>
          <w:sz w:val="20"/>
          <w:szCs w:val="20"/>
        </w:rPr>
        <w:t xml:space="preserve">is ANBI geregistreerd onder </w:t>
      </w:r>
      <w:r w:rsidR="0006588A" w:rsidRPr="002374C3">
        <w:rPr>
          <w:rFonts w:ascii="Arial Nova" w:hAnsi="Arial Nova" w:cs="Arial"/>
          <w:sz w:val="20"/>
          <w:szCs w:val="20"/>
        </w:rPr>
        <w:t xml:space="preserve">RSIN </w:t>
      </w:r>
      <w:r w:rsidR="002B36D3" w:rsidRPr="002374C3">
        <w:rPr>
          <w:rFonts w:ascii="Arial Nova" w:hAnsi="Arial Nova" w:cs="Arial"/>
          <w:sz w:val="20"/>
          <w:szCs w:val="20"/>
        </w:rPr>
        <w:t xml:space="preserve">nummer </w:t>
      </w:r>
      <w:r w:rsidR="0006588A" w:rsidRPr="002374C3">
        <w:rPr>
          <w:rFonts w:ascii="Arial Nova" w:hAnsi="Arial Nova" w:cs="Arial"/>
          <w:sz w:val="20"/>
          <w:szCs w:val="20"/>
        </w:rPr>
        <w:t>816326460</w:t>
      </w:r>
      <w:r w:rsidR="002B36D3" w:rsidRPr="002374C3">
        <w:rPr>
          <w:rFonts w:ascii="Arial Nova" w:hAnsi="Arial Nova" w:cs="Arial"/>
          <w:sz w:val="20"/>
          <w:szCs w:val="20"/>
        </w:rPr>
        <w:t xml:space="preserve">. </w:t>
      </w:r>
    </w:p>
    <w:p w14:paraId="439EEB2C" w14:textId="2B59AD55" w:rsidR="00ED4451" w:rsidRPr="002374C3" w:rsidRDefault="00EB312B">
      <w:pPr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Het bestuur van de stichting</w:t>
      </w:r>
      <w:r w:rsidR="002B36D3" w:rsidRPr="002374C3">
        <w:rPr>
          <w:rFonts w:ascii="Arial Nova" w:hAnsi="Arial Nova" w:cs="Arial"/>
          <w:sz w:val="20"/>
          <w:szCs w:val="20"/>
        </w:rPr>
        <w:t xml:space="preserve"> </w:t>
      </w:r>
      <w:r w:rsidR="0077214A" w:rsidRPr="002374C3">
        <w:rPr>
          <w:rFonts w:ascii="Arial Nova" w:hAnsi="Arial Nova" w:cs="Arial"/>
          <w:sz w:val="20"/>
          <w:szCs w:val="20"/>
        </w:rPr>
        <w:t>bestaat uit onbezoldigde vrijwilligers.</w:t>
      </w:r>
    </w:p>
    <w:p w14:paraId="42B0BDCB" w14:textId="77777777" w:rsidR="00DE6BA4" w:rsidRPr="002374C3" w:rsidRDefault="00DE6BA4">
      <w:pPr>
        <w:rPr>
          <w:rFonts w:ascii="Arial Nova" w:hAnsi="Arial Nova" w:cs="Arial"/>
          <w:sz w:val="20"/>
          <w:szCs w:val="20"/>
        </w:rPr>
      </w:pPr>
    </w:p>
    <w:p w14:paraId="116DE12D" w14:textId="77777777" w:rsidR="00DE6BA4" w:rsidRPr="002374C3" w:rsidRDefault="00DE6BA4">
      <w:pPr>
        <w:rPr>
          <w:rFonts w:ascii="Arial Nova" w:hAnsi="Arial Nova" w:cs="Arial"/>
          <w:sz w:val="20"/>
          <w:szCs w:val="20"/>
        </w:rPr>
      </w:pPr>
    </w:p>
    <w:p w14:paraId="3F643950" w14:textId="6BFB66B4" w:rsidR="00E72E76" w:rsidRPr="00D1368C" w:rsidRDefault="0077214A">
      <w:pPr>
        <w:rPr>
          <w:rFonts w:ascii="Arial Nova" w:hAnsi="Arial Nova" w:cs="Arial"/>
          <w:b/>
          <w:bCs/>
          <w:sz w:val="22"/>
          <w:szCs w:val="22"/>
          <w:u w:val="single"/>
        </w:rPr>
      </w:pPr>
      <w:r w:rsidRPr="00D1368C">
        <w:rPr>
          <w:rFonts w:ascii="Arial Nova" w:hAnsi="Arial Nova" w:cs="Arial"/>
          <w:b/>
          <w:bCs/>
          <w:sz w:val="22"/>
          <w:szCs w:val="22"/>
          <w:u w:val="single"/>
        </w:rPr>
        <w:t>Activiteiten</w:t>
      </w:r>
    </w:p>
    <w:p w14:paraId="38A4F9DD" w14:textId="77777777" w:rsidR="002B36D3" w:rsidRPr="002374C3" w:rsidRDefault="002B36D3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479D7290" w14:textId="77777777" w:rsidR="001649C7" w:rsidRPr="002374C3" w:rsidRDefault="0077214A">
      <w:pPr>
        <w:rPr>
          <w:rFonts w:ascii="Arial Nova" w:hAnsi="Arial Nova" w:cs="Arial"/>
          <w:sz w:val="20"/>
          <w:szCs w:val="20"/>
        </w:rPr>
      </w:pPr>
      <w:r w:rsidRPr="002374C3">
        <w:rPr>
          <w:rFonts w:ascii="Arial Nova" w:hAnsi="Arial Nova" w:cs="Arial"/>
          <w:sz w:val="20"/>
          <w:szCs w:val="20"/>
        </w:rPr>
        <w:t xml:space="preserve">In het boekjaar 2024 heeft de Stichting wederom donaties van </w:t>
      </w:r>
      <w:r w:rsidR="001466AC" w:rsidRPr="002374C3">
        <w:rPr>
          <w:rFonts w:ascii="Arial Nova" w:hAnsi="Arial Nova" w:cs="Arial"/>
          <w:sz w:val="20"/>
          <w:szCs w:val="20"/>
        </w:rPr>
        <w:t>familieleden</w:t>
      </w:r>
      <w:r w:rsidR="009B0E74" w:rsidRPr="002374C3">
        <w:rPr>
          <w:rFonts w:ascii="Arial Nova" w:hAnsi="Arial Nova" w:cs="Arial"/>
          <w:sz w:val="20"/>
          <w:szCs w:val="20"/>
        </w:rPr>
        <w:t xml:space="preserve"> </w:t>
      </w:r>
      <w:r w:rsidR="002B36D3" w:rsidRPr="002374C3">
        <w:rPr>
          <w:rFonts w:ascii="Arial Nova" w:hAnsi="Arial Nova" w:cs="Arial"/>
          <w:sz w:val="20"/>
          <w:szCs w:val="20"/>
        </w:rPr>
        <w:t xml:space="preserve">en nabestaanden </w:t>
      </w:r>
      <w:r w:rsidR="009B0E74" w:rsidRPr="002374C3">
        <w:rPr>
          <w:rFonts w:ascii="Arial Nova" w:hAnsi="Arial Nova" w:cs="Arial"/>
          <w:sz w:val="20"/>
          <w:szCs w:val="20"/>
        </w:rPr>
        <w:t>van bewoners van Duinstede</w:t>
      </w:r>
      <w:r w:rsidR="001466AC" w:rsidRPr="002374C3">
        <w:rPr>
          <w:rFonts w:ascii="Arial Nova" w:hAnsi="Arial Nova" w:cs="Arial"/>
          <w:sz w:val="20"/>
          <w:szCs w:val="20"/>
        </w:rPr>
        <w:t xml:space="preserve"> ontvangen. </w:t>
      </w:r>
    </w:p>
    <w:p w14:paraId="6AE17493" w14:textId="78C56415" w:rsidR="0077214A" w:rsidRPr="002374C3" w:rsidRDefault="001466AC">
      <w:pPr>
        <w:rPr>
          <w:rFonts w:ascii="Arial Nova" w:hAnsi="Arial Nova" w:cs="Arial"/>
          <w:sz w:val="20"/>
          <w:szCs w:val="20"/>
        </w:rPr>
      </w:pPr>
      <w:r w:rsidRPr="002374C3">
        <w:rPr>
          <w:rFonts w:ascii="Arial Nova" w:hAnsi="Arial Nova" w:cs="Arial"/>
          <w:sz w:val="20"/>
          <w:szCs w:val="20"/>
        </w:rPr>
        <w:t xml:space="preserve">Hierdoor is de Stichting in staat geweest een aantal verzoeken van Woonzorgcentrum Duinstede voor financiële ondersteuning in activiteiten t.b.v. de bewoners te vervullen. </w:t>
      </w:r>
    </w:p>
    <w:p w14:paraId="4B3DD97B" w14:textId="77777777" w:rsidR="0077214A" w:rsidRPr="002B36D3" w:rsidRDefault="0077214A">
      <w:pPr>
        <w:rPr>
          <w:rFonts w:ascii="Arial Nova" w:hAnsi="Arial Nova" w:cs="Arial"/>
          <w:b/>
          <w:bCs/>
          <w:sz w:val="22"/>
          <w:szCs w:val="22"/>
          <w:u w:val="single"/>
        </w:rPr>
      </w:pPr>
    </w:p>
    <w:p w14:paraId="3EE9A43B" w14:textId="77777777" w:rsidR="0077214A" w:rsidRPr="002B36D3" w:rsidRDefault="0077214A">
      <w:pPr>
        <w:rPr>
          <w:rFonts w:ascii="Arial Nova" w:hAnsi="Arial Nova" w:cs="Arial"/>
          <w:b/>
          <w:bCs/>
          <w:sz w:val="22"/>
          <w:szCs w:val="22"/>
          <w:u w:val="single"/>
        </w:rPr>
      </w:pPr>
    </w:p>
    <w:p w14:paraId="23BB06BD" w14:textId="00DDCA4A" w:rsidR="001466AC" w:rsidRPr="002374C3" w:rsidRDefault="0077214A">
      <w:pPr>
        <w:rPr>
          <w:rFonts w:ascii="Arial Nova" w:hAnsi="Arial Nova" w:cs="Arial"/>
          <w:b/>
          <w:bCs/>
          <w:sz w:val="22"/>
          <w:szCs w:val="22"/>
          <w:u w:val="single"/>
        </w:rPr>
      </w:pPr>
      <w:r w:rsidRPr="002374C3">
        <w:rPr>
          <w:rFonts w:ascii="Arial Nova" w:hAnsi="Arial Nova" w:cs="Arial"/>
          <w:b/>
          <w:bCs/>
          <w:sz w:val="22"/>
          <w:szCs w:val="22"/>
          <w:u w:val="single"/>
        </w:rPr>
        <w:t>Financieel overzicht</w:t>
      </w:r>
      <w:r w:rsidR="00230CA6" w:rsidRPr="002374C3">
        <w:rPr>
          <w:rFonts w:ascii="Arial Nova" w:hAnsi="Arial Nova" w:cs="Arial"/>
          <w:b/>
          <w:bCs/>
          <w:sz w:val="22"/>
          <w:szCs w:val="22"/>
          <w:u w:val="single"/>
        </w:rPr>
        <w:t xml:space="preserve"> 2024</w:t>
      </w:r>
    </w:p>
    <w:p w14:paraId="53F1137E" w14:textId="77777777" w:rsidR="002B36D3" w:rsidRPr="002B36D3" w:rsidRDefault="002B36D3">
      <w:pPr>
        <w:rPr>
          <w:rFonts w:ascii="Arial Nova" w:hAnsi="Arial Nova" w:cs="Arial"/>
          <w:b/>
          <w:bCs/>
          <w:u w:val="single"/>
        </w:rPr>
      </w:pPr>
    </w:p>
    <w:tbl>
      <w:tblPr>
        <w:tblW w:w="10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210"/>
        <w:gridCol w:w="1210"/>
        <w:gridCol w:w="300"/>
        <w:gridCol w:w="1190"/>
        <w:gridCol w:w="1190"/>
        <w:gridCol w:w="300"/>
        <w:gridCol w:w="1070"/>
        <w:gridCol w:w="1070"/>
      </w:tblGrid>
      <w:tr w:rsidR="00230CA6" w14:paraId="4FAB9764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4857" w14:textId="77777777" w:rsidR="00230CA6" w:rsidRDefault="00230CA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0005B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Balans begin 2024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93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97B91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Saldibalans eind 2024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6D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C0229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Balans eind 2024</w:t>
            </w:r>
          </w:p>
        </w:tc>
      </w:tr>
      <w:tr w:rsidR="00230CA6" w14:paraId="74DF8C5D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F8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323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4D0A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50E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D8F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137C3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23F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5FF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FBD2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2E8FBB4B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D43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862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Deb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87A9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Cred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32FE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086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Deb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F0BA3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Cred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694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7DB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Deb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0C91A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Cred</w:t>
            </w:r>
            <w:proofErr w:type="spellEnd"/>
          </w:p>
        </w:tc>
      </w:tr>
      <w:tr w:rsidR="00230CA6" w14:paraId="47325F0A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05B6" w14:textId="77777777" w:rsidR="00230CA6" w:rsidRDefault="00230CA6">
            <w:pPr>
              <w:rPr>
                <w:rFonts w:ascii="Arial Nova" w:hAnsi="Arial Nov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b/>
                <w:bCs/>
                <w:color w:val="000000"/>
                <w:sz w:val="18"/>
                <w:szCs w:val="18"/>
              </w:rPr>
              <w:t>Balansen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C5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80B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90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BD1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70D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BFA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1699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7AB4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75953A51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EED4" w14:textId="393E546E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ING Betaalrek </w:t>
            </w:r>
            <w:r w:rsidR="003F36DF">
              <w:rPr>
                <w:rFonts w:ascii="Arial Nova" w:hAnsi="Arial Nov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FF3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5.146,24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5542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38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3C8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3.269,81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D454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9D47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9C6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3.269,81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8E5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62BFDBE6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90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ING Spaarrek 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9488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12.196,99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B280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F4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CBA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19.212,53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B480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031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ACD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19.212,53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2BC5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5E772C7B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A48" w14:textId="4E760A4F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ING Betaalrek </w:t>
            </w:r>
            <w:r w:rsidR="003F36DF">
              <w:rPr>
                <w:rFonts w:ascii="Arial Nova" w:hAnsi="Arial Nov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34C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2.303,13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E6E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01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04CC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840,51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BBE4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90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0C2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840,51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C84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12A129D4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43D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Algemene reserve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B8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38F12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19.646,36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7064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97C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372E7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19.646,36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7F0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21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AD885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23.322,85</w:t>
            </w:r>
          </w:p>
        </w:tc>
      </w:tr>
      <w:tr w:rsidR="00230CA6" w14:paraId="7B33CB57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6B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Resultaat 2024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0DD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55FF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136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7E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1E1F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3.676,49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D9A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DF9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4224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4D008BC7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C8B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F27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604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6339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51C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A2C5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040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AF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E020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36297C58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4D7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Totalen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3E3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19.646,36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8C5C2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19.646,36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23C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876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23.322,85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E757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23.322,85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198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7A7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23.322,85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02DCB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23.322,85</w:t>
            </w:r>
          </w:p>
        </w:tc>
      </w:tr>
      <w:tr w:rsidR="00230CA6" w14:paraId="05FD2352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0D43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C69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957D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99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D8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6C85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7CB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24D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B20B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2564F68F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3A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768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0FB24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5F4E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B42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Deb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B0B4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Cred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1CD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4B56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F2896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30CA6" w14:paraId="2693F7F2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D5D" w14:textId="62F79A4F" w:rsidR="00230CA6" w:rsidRDefault="00230CA6">
            <w:pPr>
              <w:rPr>
                <w:rFonts w:ascii="Arial Nova" w:hAnsi="Arial Nov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b/>
                <w:bCs/>
                <w:color w:val="000000"/>
                <w:sz w:val="18"/>
                <w:szCs w:val="18"/>
              </w:rPr>
              <w:t>Verlies en winst 202</w:t>
            </w:r>
            <w:r w:rsidR="003F36DF">
              <w:rPr>
                <w:rFonts w:ascii="Arial Nova" w:hAnsi="Arial Nova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F23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3021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68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C3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5FF8D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69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935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797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42793860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D97" w14:textId="07B01A0A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Bankkosten ING Betaalrek </w:t>
            </w:r>
            <w:r w:rsidR="003F36DF">
              <w:rPr>
                <w:rFonts w:ascii="Arial Nova" w:hAnsi="Arial Nov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E90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97B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12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9149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265,03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6AA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2C1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DEB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844E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4BCCA0F5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384" w14:textId="5A683BC2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Bankkosten ING Betaalrek </w:t>
            </w:r>
            <w:r w:rsidR="003F36DF">
              <w:rPr>
                <w:rFonts w:ascii="Arial Nova" w:hAnsi="Arial Nov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043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CD4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180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312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101,52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441D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BD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E20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D99A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509CF5D2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6E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Diverse kosten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157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0DB0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4DB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30A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6A49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2B0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08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B087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258BEF4D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DC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Donaties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184D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9EB4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00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EA0A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F4346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8C67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193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25B7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42779AA0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53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Div inkomsten (rente))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52D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5D72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2D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93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25D8E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15,54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D3C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8C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E80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64028EA0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64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Projecten, doelbetalingen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A16E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E3A8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A28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671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1.361,10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6487F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C1D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2E31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80DB5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233DF062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0F7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Resultaat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72B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3173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3A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8A2" w14:textId="77777777" w:rsidR="00230CA6" w:rsidRDefault="00230CA6">
            <w:pPr>
              <w:jc w:val="right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3.676,49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1AEF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0C9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70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264B2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2A2FD191" w14:textId="77777777" w:rsidTr="00230CA6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2C6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213B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5C35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40C4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B1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65BF3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31FF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0BC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21C1" w14:textId="77777777" w:rsidR="00230CA6" w:rsidRDefault="00230CA6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 </w:t>
            </w:r>
          </w:p>
        </w:tc>
      </w:tr>
      <w:tr w:rsidR="00230CA6" w14:paraId="0611357C" w14:textId="77777777" w:rsidTr="00230CA6">
        <w:trPr>
          <w:trHeight w:val="27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6319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Totalen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6B21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C1E8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B0EF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7786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5415,54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1A16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5415,54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7FA1" w14:textId="77777777" w:rsidR="00230CA6" w:rsidRDefault="00230CA6">
            <w:pPr>
              <w:jc w:val="right"/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21D3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74E5" w14:textId="77777777" w:rsidR="00230CA6" w:rsidRDefault="00230CA6">
            <w:pP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5046A264" w14:textId="57A62ADC" w:rsidR="008459D9" w:rsidRPr="002B36D3" w:rsidRDefault="008459D9">
      <w:pPr>
        <w:rPr>
          <w:rFonts w:ascii="Arial Nova" w:hAnsi="Arial Nova" w:cs="Arial"/>
          <w:i/>
          <w:iCs/>
          <w:sz w:val="22"/>
          <w:szCs w:val="22"/>
        </w:rPr>
      </w:pPr>
    </w:p>
    <w:p w14:paraId="2736FE32" w14:textId="77777777" w:rsidR="002B36D3" w:rsidRPr="002B36D3" w:rsidRDefault="002B36D3">
      <w:pPr>
        <w:rPr>
          <w:rFonts w:ascii="Arial Nova" w:hAnsi="Arial Nova" w:cs="Arial"/>
          <w:i/>
          <w:iCs/>
          <w:sz w:val="22"/>
          <w:szCs w:val="22"/>
        </w:rPr>
      </w:pPr>
    </w:p>
    <w:sectPr w:rsidR="002B36D3" w:rsidRPr="002B36D3" w:rsidSect="00F91D6F">
      <w:pgSz w:w="11904" w:h="16836"/>
      <w:pgMar w:top="851" w:right="851" w:bottom="851" w:left="851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51"/>
    <w:rsid w:val="000030C9"/>
    <w:rsid w:val="0006588A"/>
    <w:rsid w:val="000A2ACC"/>
    <w:rsid w:val="000F208C"/>
    <w:rsid w:val="00104943"/>
    <w:rsid w:val="001466AC"/>
    <w:rsid w:val="00154047"/>
    <w:rsid w:val="001649C7"/>
    <w:rsid w:val="001A3332"/>
    <w:rsid w:val="001B029E"/>
    <w:rsid w:val="00202BCC"/>
    <w:rsid w:val="00230CA6"/>
    <w:rsid w:val="002374C3"/>
    <w:rsid w:val="0029447A"/>
    <w:rsid w:val="002B36D3"/>
    <w:rsid w:val="002D6084"/>
    <w:rsid w:val="003005E8"/>
    <w:rsid w:val="00304981"/>
    <w:rsid w:val="00311BC6"/>
    <w:rsid w:val="00360D4A"/>
    <w:rsid w:val="003657C8"/>
    <w:rsid w:val="00367892"/>
    <w:rsid w:val="003C0FD1"/>
    <w:rsid w:val="003F36DF"/>
    <w:rsid w:val="00407B5B"/>
    <w:rsid w:val="004F24AD"/>
    <w:rsid w:val="00561E6E"/>
    <w:rsid w:val="00577642"/>
    <w:rsid w:val="00594E56"/>
    <w:rsid w:val="0061460E"/>
    <w:rsid w:val="00625B5D"/>
    <w:rsid w:val="00646535"/>
    <w:rsid w:val="00667891"/>
    <w:rsid w:val="00675F3E"/>
    <w:rsid w:val="006D0CC3"/>
    <w:rsid w:val="0077214A"/>
    <w:rsid w:val="00791C0A"/>
    <w:rsid w:val="007A5F1A"/>
    <w:rsid w:val="007C2F9F"/>
    <w:rsid w:val="007E35AB"/>
    <w:rsid w:val="007F4A0A"/>
    <w:rsid w:val="008459D9"/>
    <w:rsid w:val="008B5B0F"/>
    <w:rsid w:val="008C26A1"/>
    <w:rsid w:val="009114F2"/>
    <w:rsid w:val="00916DA2"/>
    <w:rsid w:val="009A2AB8"/>
    <w:rsid w:val="009B0E74"/>
    <w:rsid w:val="00A43411"/>
    <w:rsid w:val="00A87B57"/>
    <w:rsid w:val="00AF20AF"/>
    <w:rsid w:val="00AF7980"/>
    <w:rsid w:val="00B67E11"/>
    <w:rsid w:val="00BD3141"/>
    <w:rsid w:val="00BD3480"/>
    <w:rsid w:val="00BD6298"/>
    <w:rsid w:val="00C25C2D"/>
    <w:rsid w:val="00C34286"/>
    <w:rsid w:val="00C722F5"/>
    <w:rsid w:val="00C963E7"/>
    <w:rsid w:val="00D04E32"/>
    <w:rsid w:val="00D1368C"/>
    <w:rsid w:val="00D318BB"/>
    <w:rsid w:val="00D31CC8"/>
    <w:rsid w:val="00D63008"/>
    <w:rsid w:val="00D75C2B"/>
    <w:rsid w:val="00DD4931"/>
    <w:rsid w:val="00DE6BA4"/>
    <w:rsid w:val="00E24BDA"/>
    <w:rsid w:val="00E72E76"/>
    <w:rsid w:val="00E7610E"/>
    <w:rsid w:val="00E83878"/>
    <w:rsid w:val="00EA1136"/>
    <w:rsid w:val="00EB312B"/>
    <w:rsid w:val="00ED4451"/>
    <w:rsid w:val="00F91D6F"/>
    <w:rsid w:val="00FA7621"/>
    <w:rsid w:val="00FB28D9"/>
    <w:rsid w:val="00FB344D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1D"/>
  <w15:docId w15:val="{8BCA279B-B415-4BAA-9947-DE333F7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14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B2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2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2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2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28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Geenafstand">
    <w:name w:val="No Spacing"/>
    <w:uiPriority w:val="1"/>
    <w:qFormat/>
    <w:rsid w:val="00BD3141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E6BA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iendenvanduinstede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 de Haas</dc:creator>
  <cp:lastModifiedBy>Maurits Blaauw</cp:lastModifiedBy>
  <cp:revision>49</cp:revision>
  <cp:lastPrinted>2025-02-10T15:03:00Z</cp:lastPrinted>
  <dcterms:created xsi:type="dcterms:W3CDTF">2013-10-06T08:41:00Z</dcterms:created>
  <dcterms:modified xsi:type="dcterms:W3CDTF">2025-02-13T11:08:00Z</dcterms:modified>
</cp:coreProperties>
</file>